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B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faks …………………………………………………………………………….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Oferujemy dostawę sprzętu i oprogramowania komputerowego określonego w Załączniku A do Specyfikacji istotnych warunków zamówienia, na warunkach określonych w Specyfikacji istotnych warunków zamówienia oraz wzorze umowy stanowiącym Załącznik D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1:</w:t>
      </w:r>
      <w:r>
        <w:rPr/>
        <w:t xml:space="preserve"> Dostawa sprzętu komputerowego – Akcesoria komputerowe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Switch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Monitor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Monitor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Monitor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Monitor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Szafa rack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 serwerowy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21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7)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2:</w:t>
      </w:r>
      <w:r>
        <w:rPr/>
        <w:t xml:space="preserve"> Dostawa sprzętu komputerowego – Dyski serwerowe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Dyski NVMe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20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3:</w:t>
      </w:r>
      <w:r>
        <w:rPr/>
        <w:t xml:space="preserve"> Dostawa sprzętu komputerowego – Komputery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4:</w:t>
      </w:r>
      <w:r>
        <w:rPr/>
        <w:t xml:space="preserve"> Dostawa sprzętu komputerowego – Komputery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Skaner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15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5:</w:t>
      </w:r>
      <w:r>
        <w:rPr/>
        <w:t xml:space="preserve"> Dostawa sprzętu komputerowego – Elementy rozbudowy serwera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Procesor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Procesor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Pamięć RAM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18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Pamięć RAM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Pamięć RAM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19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składamy ofertę na Zadania: ………………………..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………………………………………………………………………….;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2018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spacing w:before="86" w:after="86"/>
        <w:rPr/>
      </w:pPr>
      <w:r>
        <w:rPr/>
        <w:t>podpis(y) osoby(osób) uprawnionej do reprezentowania Wykonawcy</w:t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retekstu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retekstu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retekstu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7</Pages>
  <Words>866</Words>
  <Characters>5546</Characters>
  <CharactersWithSpaces>6137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