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Nr sprawy: DAS-251-32/18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 xml:space="preserve">Załącznik </w:t>
            </w:r>
            <w:r>
              <w:rPr/>
              <w:t>do oferty</w:t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1. Dostawa sprzętu komputerowego – Dyski serwerowe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1.1. Dostawa urządzenia „Dyski NVMe”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1.2. Dostawa urządzenia „Dyski HDD”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2. Dostawa sprzętu komputerowego – Serwer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2.1. Dostawa urządzenia „Serwer obliczeniowy”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3. Dostawa sprzętu komputerowego – Laptopy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3.1. Dostawa urządzenia „Laptop”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3.2. Dostawa urządzenia „Laptop” – (Typ 2)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3.3. Dostawa urządzenia „Laptop” – (Typ 3)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4. Dostawa sprzętu komputerowego – Komputery stacjonarne i akcesoria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4.1. Dostawa urządzenia „Komputer stacjonarny” – (Typ 1) [4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4.2. Dostawa urządzenia „Komputer stacjonarny” – (Typ 2) [9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4.3. Dostawa urządzenia „Komputer stacjonarny” – (Typ 3)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4.4. Dostawa urządzenia „Komputer stacjonarny” – (Typ 4)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4.5. Dostawa urządzenia „Komputer stacjonarny” – (Typ 5)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4.6. Dostawa urządzenia „Monitor”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4.7. Dostawa urządzenia „Komputer stacjonarny” – (Typ 6)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4.8. Dostawa urządzenia „Dyski serwerowe” – (Typ 1) [10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4.9. Dostawa urządzenia „Dyski zewnętrzne” – (Typ 1) [7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4.10. Dostawa urządzenia „Dyski SSD”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5. Dostawa sprzętu komputerowego – Laptopy i akcesoria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5.1. Dostawa urządzenia „Laptop” – (Typ 4)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5.2. Dostawa urządzenia „Laptop” – (Typ 5)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5.3. Dostawa urządzenia „Laptop” – (Typ 6)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5.4. Dostawa urządzenia „Laptop z akcesoriami”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5.5. Dostawa urządzenia „Laptop” – (Typ 7)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6. Dostawa sprzętu komputerowego – Komputery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6.1. Dostawa urządzenia „Laptop” – (Typ 8)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6.2. Dostawa urządzenia „Laptop” – (Typ 9)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6.3. Dostawa urządzenia „Komputer stacjonarny” – (Typ 7)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en-US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qFormat/>
    <w:pPr>
      <w:spacing w:before="86" w:after="86"/>
    </w:pPr>
    <w:rPr/>
  </w:style>
  <w:style w:type="paragraph" w:styleId="DefinitionDefinition">
    <w:name w:val="Definition Definition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13</Pages>
  <Words>380</Words>
  <Characters>2445</Characters>
  <CharactersWithSpaces>3462</CharactersWithSpaces>
  <Paragraphs>866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2018-07-25T08:18:16Z</dcterms:modified>
  <cp:revision>2</cp:revision>
  <dc:subject/>
  <dc:title/>
</cp:coreProperties>
</file>